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2D" w:rsidRPr="003B0205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B4E3F" w:rsidRPr="003B020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</w:t>
      </w:r>
      <w:r w:rsidR="00FB4E3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</w:t>
      </w: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</w:t>
      </w:r>
      <w:r w:rsidR="00FB4E3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r w:rsidR="00A776F7">
        <w:rPr>
          <w:rFonts w:ascii="Times New Roman" w:hAnsi="Times New Roman" w:cs="Times New Roman"/>
          <w:b/>
          <w:spacing w:val="20"/>
          <w:sz w:val="32"/>
          <w:szCs w:val="32"/>
        </w:rPr>
        <w:t>Сибиряк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3B0205" w:rsidRDefault="00D0422D" w:rsidP="00D0422D">
      <w:pPr>
        <w:widowControl/>
        <w:autoSpaceDE/>
        <w:autoSpaceDN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32"/>
          <w:szCs w:val="32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r w:rsidRPr="003B0205">
        <w:rPr>
          <w:rFonts w:ascii="Century Schoolbook" w:hAnsi="Century Schoolbook" w:cs="Times New Roman"/>
          <w:spacing w:val="20"/>
          <w:sz w:val="32"/>
          <w:szCs w:val="32"/>
        </w:rPr>
        <w:t>ПОСТАНОВЛЕНИЕ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FB4E3F">
        <w:rPr>
          <w:rFonts w:ascii="Times New Roman" w:hAnsi="Times New Roman" w:cs="Times New Roman"/>
          <w:b/>
          <w:spacing w:val="20"/>
          <w:sz w:val="28"/>
        </w:rPr>
        <w:t xml:space="preserve"> 11 марта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="00FB4E3F">
        <w:rPr>
          <w:rFonts w:ascii="Times New Roman" w:hAnsi="Times New Roman" w:cs="Times New Roman"/>
          <w:b/>
          <w:spacing w:val="20"/>
          <w:sz w:val="28"/>
        </w:rPr>
        <w:t>№ 7-пг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AC5201" w:rsidRPr="003B0205" w:rsidRDefault="00D0422D" w:rsidP="00FB4E3F">
      <w:pPr>
        <w:widowControl/>
        <w:tabs>
          <w:tab w:val="center" w:pos="4890"/>
        </w:tabs>
        <w:autoSpaceDE/>
        <w:autoSpaceDN/>
        <w:adjustRightInd/>
        <w:ind w:firstLine="0"/>
        <w:jc w:val="left"/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ab/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E3F"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30B0" w:rsidRPr="003B02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01AA" w:rsidRPr="00FB4E3F">
        <w:rPr>
          <w:rFonts w:ascii="Times New Roman" w:hAnsi="Times New Roman" w:cs="Times New Roman"/>
          <w:i/>
          <w:color w:val="auto"/>
          <w:sz w:val="28"/>
          <w:szCs w:val="28"/>
        </w:rPr>
        <w:t>Об утверждении Порядка формирования перечня</w:t>
      </w:r>
      <w:r w:rsidRPr="00FB4E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601AA" w:rsidRPr="00FB4E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налоговых расходов </w:t>
      </w:r>
      <w:r w:rsidR="00A776F7" w:rsidRPr="00FB4E3F">
        <w:rPr>
          <w:rFonts w:ascii="Times New Roman" w:hAnsi="Times New Roman" w:cs="Times New Roman"/>
          <w:i/>
          <w:color w:val="auto"/>
          <w:sz w:val="28"/>
          <w:szCs w:val="28"/>
        </w:rPr>
        <w:t>Сибиряк</w:t>
      </w:r>
      <w:r w:rsidR="00D0422D" w:rsidRPr="00FB4E3F">
        <w:rPr>
          <w:rFonts w:ascii="Times New Roman" w:hAnsi="Times New Roman" w:cs="Times New Roman"/>
          <w:i/>
          <w:color w:val="auto"/>
          <w:sz w:val="28"/>
          <w:szCs w:val="28"/>
        </w:rPr>
        <w:t>ского сельского</w:t>
      </w:r>
      <w:r w:rsidRPr="00FB4E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0422D" w:rsidRPr="00FB4E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поселения </w:t>
      </w:r>
      <w:r w:rsidR="007601AA" w:rsidRPr="00FB4E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 оценки налоговых </w:t>
      </w:r>
      <w:r w:rsidR="00D0422D" w:rsidRPr="00FB4E3F">
        <w:rPr>
          <w:rFonts w:ascii="Times New Roman" w:hAnsi="Times New Roman" w:cs="Times New Roman"/>
          <w:i/>
          <w:color w:val="auto"/>
          <w:sz w:val="28"/>
          <w:szCs w:val="28"/>
        </w:rPr>
        <w:t>расходов</w:t>
      </w:r>
      <w:r w:rsidRPr="00FB4E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A776F7" w:rsidRPr="00FB4E3F">
        <w:rPr>
          <w:rFonts w:ascii="Times New Roman" w:hAnsi="Times New Roman" w:cs="Times New Roman"/>
          <w:i/>
          <w:color w:val="auto"/>
          <w:sz w:val="28"/>
          <w:szCs w:val="28"/>
        </w:rPr>
        <w:t>Сибиряк</w:t>
      </w:r>
      <w:r w:rsidR="00D0422D" w:rsidRPr="00FB4E3F">
        <w:rPr>
          <w:rFonts w:ascii="Times New Roman" w:hAnsi="Times New Roman" w:cs="Times New Roman"/>
          <w:i/>
          <w:color w:val="auto"/>
          <w:sz w:val="28"/>
          <w:szCs w:val="28"/>
        </w:rPr>
        <w:t>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A776F7">
        <w:rPr>
          <w:rFonts w:ascii="Times New Roman" w:hAnsi="Times New Roman" w:cs="Times New Roman"/>
          <w:color w:val="000000"/>
          <w:sz w:val="28"/>
          <w:szCs w:val="28"/>
        </w:rPr>
        <w:t>Сибиряк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A776F7">
        <w:rPr>
          <w:rFonts w:ascii="Times New Roman" w:hAnsi="Times New Roman" w:cs="Times New Roman"/>
          <w:sz w:val="28"/>
          <w:szCs w:val="28"/>
        </w:rPr>
        <w:t>Сибиряк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A776F7">
        <w:rPr>
          <w:rFonts w:ascii="Times New Roman" w:hAnsi="Times New Roman" w:cs="Times New Roman"/>
          <w:sz w:val="28"/>
          <w:szCs w:val="28"/>
        </w:rPr>
        <w:t>Сибиряк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A776F7">
        <w:rPr>
          <w:rFonts w:ascii="Times New Roman" w:hAnsi="Times New Roman" w:cs="Times New Roman"/>
          <w:sz w:val="28"/>
          <w:szCs w:val="28"/>
        </w:rPr>
        <w:t>Сибиряк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A776F7">
        <w:rPr>
          <w:rFonts w:ascii="Times New Roman" w:hAnsi="Times New Roman" w:cs="Times New Roman"/>
          <w:sz w:val="28"/>
          <w:szCs w:val="28"/>
        </w:rPr>
        <w:t>Сибиряк</w:t>
      </w:r>
      <w:r w:rsidRPr="003B0205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76F7">
        <w:rPr>
          <w:rFonts w:ascii="Times New Roman" w:hAnsi="Times New Roman" w:cs="Times New Roman"/>
          <w:sz w:val="28"/>
          <w:szCs w:val="28"/>
        </w:rPr>
        <w:t>Сибиряк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    </w:t>
      </w:r>
      <w:r w:rsidR="00A776F7" w:rsidRPr="00A776F7">
        <w:rPr>
          <w:rFonts w:ascii="Times New Roman" w:hAnsi="Times New Roman" w:cs="Times New Roman"/>
          <w:sz w:val="28"/>
          <w:szCs w:val="28"/>
        </w:rPr>
        <w:t>В.С.</w:t>
      </w:r>
      <w:r w:rsidR="00FB4E3F">
        <w:rPr>
          <w:rFonts w:ascii="Times New Roman" w:hAnsi="Times New Roman" w:cs="Times New Roman"/>
          <w:sz w:val="28"/>
          <w:szCs w:val="28"/>
        </w:rPr>
        <w:t xml:space="preserve"> </w:t>
      </w:r>
      <w:r w:rsidR="00A776F7" w:rsidRPr="00A776F7">
        <w:rPr>
          <w:rFonts w:ascii="Times New Roman" w:hAnsi="Times New Roman" w:cs="Times New Roman"/>
          <w:sz w:val="28"/>
          <w:szCs w:val="28"/>
        </w:rPr>
        <w:t>Тахаудинов</w:t>
      </w: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A31F2C" w:rsidRDefault="00A31F2C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Par39"/>
      <w:bookmarkEnd w:id="0"/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r w:rsidR="00A776F7">
        <w:rPr>
          <w:rFonts w:ascii="Times New Roman" w:hAnsi="Times New Roman" w:cs="Times New Roman"/>
        </w:rPr>
        <w:t>Сибиряк</w:t>
      </w:r>
      <w:r w:rsidRPr="003B0205">
        <w:rPr>
          <w:rFonts w:ascii="Times New Roman" w:hAnsi="Times New Roman" w:cs="Times New Roman"/>
        </w:rPr>
        <w:t>ского сельского поселения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от </w:t>
      </w:r>
      <w:r w:rsidR="00FB4E3F">
        <w:rPr>
          <w:rFonts w:ascii="Times New Roman" w:hAnsi="Times New Roman" w:cs="Times New Roman"/>
        </w:rPr>
        <w:t xml:space="preserve">11 марта </w:t>
      </w:r>
      <w:r w:rsidRPr="003B0205">
        <w:rPr>
          <w:rFonts w:ascii="Times New Roman" w:hAnsi="Times New Roman" w:cs="Times New Roman"/>
        </w:rPr>
        <w:t xml:space="preserve">2020 г. № </w:t>
      </w:r>
      <w:r w:rsidR="00FB4E3F">
        <w:rPr>
          <w:rFonts w:ascii="Times New Roman" w:hAnsi="Times New Roman" w:cs="Times New Roman"/>
        </w:rPr>
        <w:t>7-пг</w:t>
      </w:r>
      <w:r w:rsidRPr="003B0205">
        <w:rPr>
          <w:rFonts w:ascii="Times New Roman" w:hAnsi="Times New Roman" w:cs="Times New Roman"/>
        </w:rPr>
        <w:t xml:space="preserve"> 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FB4E3F" w:rsidRDefault="007601AA">
      <w:pPr>
        <w:pStyle w:val="3"/>
        <w:rPr>
          <w:rFonts w:ascii="Times New Roman" w:hAnsi="Times New Roman" w:cs="Times New Roman"/>
          <w:color w:val="auto"/>
        </w:rPr>
      </w:pPr>
      <w:r w:rsidRPr="00FB4E3F">
        <w:rPr>
          <w:rFonts w:ascii="Times New Roman" w:hAnsi="Times New Roman" w:cs="Times New Roman"/>
          <w:color w:val="auto"/>
        </w:rPr>
        <w:t xml:space="preserve">Порядок формирования перечня налоговых расходов </w:t>
      </w:r>
      <w:r w:rsidR="00A776F7" w:rsidRPr="00FB4E3F">
        <w:rPr>
          <w:rFonts w:ascii="Times New Roman" w:hAnsi="Times New Roman" w:cs="Times New Roman"/>
          <w:color w:val="auto"/>
        </w:rPr>
        <w:t>Сибиряк</w:t>
      </w:r>
      <w:r w:rsidR="0084399F" w:rsidRPr="00FB4E3F">
        <w:rPr>
          <w:rFonts w:ascii="Times New Roman" w:hAnsi="Times New Roman" w:cs="Times New Roman"/>
          <w:color w:val="auto"/>
        </w:rPr>
        <w:t>ского сельского поселения</w:t>
      </w:r>
      <w:r w:rsidRPr="00FB4E3F">
        <w:rPr>
          <w:rFonts w:ascii="Times New Roman" w:hAnsi="Times New Roman" w:cs="Times New Roman"/>
          <w:color w:val="auto"/>
        </w:rPr>
        <w:t xml:space="preserve"> и оценки налоговых расходов </w:t>
      </w:r>
      <w:r w:rsidR="00A776F7" w:rsidRPr="00FB4E3F">
        <w:rPr>
          <w:rFonts w:ascii="Times New Roman" w:hAnsi="Times New Roman" w:cs="Times New Roman"/>
          <w:color w:val="auto"/>
        </w:rPr>
        <w:t>Сибиряк</w:t>
      </w:r>
      <w:r w:rsidR="0084399F" w:rsidRPr="00FB4E3F">
        <w:rPr>
          <w:rFonts w:ascii="Times New Roman" w:hAnsi="Times New Roman" w:cs="Times New Roman"/>
          <w:color w:val="auto"/>
        </w:rPr>
        <w:t>ского сельского поселения</w:t>
      </w:r>
    </w:p>
    <w:p w:rsidR="007601AA" w:rsidRPr="00FB4E3F" w:rsidRDefault="007601AA">
      <w:pPr>
        <w:pStyle w:val="3"/>
        <w:rPr>
          <w:rFonts w:ascii="Times New Roman" w:hAnsi="Times New Roman" w:cs="Times New Roman"/>
          <w:color w:val="auto"/>
        </w:rPr>
      </w:pPr>
      <w:r w:rsidRPr="00FB4E3F">
        <w:rPr>
          <w:rFonts w:ascii="Times New Roman" w:hAnsi="Times New Roman" w:cs="Times New Roman"/>
          <w:color w:val="auto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</w:t>
      </w:r>
      <w:r w:rsidRPr="003B0205">
        <w:rPr>
          <w:rFonts w:ascii="Times New Roman" w:hAnsi="Times New Roman" w:cs="Times New Roman"/>
        </w:rPr>
        <w:lastRenderedPageBreak/>
        <w:t>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</w:t>
      </w:r>
      <w:r w:rsidRPr="003B0205">
        <w:rPr>
          <w:rFonts w:ascii="Times New Roman" w:hAnsi="Times New Roman" w:cs="Times New Roman"/>
        </w:rPr>
        <w:lastRenderedPageBreak/>
        <w:t xml:space="preserve">перечня налоговых расходов на предмет распределения налоговых расходов по муниципальным программам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>, а также данные о значениях фискальных характеристик за год, предшествующий отчетному финансовому году;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B0205">
        <w:rPr>
          <w:rFonts w:ascii="Times New Roman" w:hAnsi="Times New Roman" w:cs="Times New Roman"/>
        </w:rPr>
        <w:lastRenderedPageBreak/>
        <w:t>затратности</w:t>
      </w:r>
      <w:proofErr w:type="spellEnd"/>
      <w:r w:rsidRPr="003B0205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 wp14:anchorId="4F9C6BFD" wp14:editId="3EE79736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lastRenderedPageBreak/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 wp14:anchorId="5B8D6F10" wp14:editId="5BEA90B4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lastRenderedPageBreak/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A776F7" w:rsidP="003B020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Сибиряк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r w:rsidR="00A776F7">
        <w:rPr>
          <w:rFonts w:ascii="Times New Roman" w:hAnsi="Times New Roman" w:cs="Times New Roman"/>
        </w:rPr>
        <w:t>Сибиряк</w:t>
      </w:r>
      <w:r w:rsidR="00D0422D">
        <w:rPr>
          <w:rFonts w:ascii="Times New Roman" w:hAnsi="Times New Roman" w:cs="Times New Roman"/>
        </w:rPr>
        <w:t>ского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7601AA" w:rsidRPr="00FB4E3F" w:rsidRDefault="007601AA" w:rsidP="003B0205">
      <w:pPr>
        <w:pStyle w:val="1"/>
        <w:rPr>
          <w:rFonts w:ascii="Times New Roman" w:hAnsi="Times New Roman" w:cs="Times New Roman"/>
          <w:color w:val="auto"/>
        </w:rPr>
      </w:pPr>
      <w:r w:rsidRPr="00FB4E3F">
        <w:rPr>
          <w:rFonts w:ascii="Times New Roman" w:hAnsi="Times New Roman" w:cs="Times New Roman"/>
          <w:color w:val="auto"/>
        </w:rPr>
        <w:t>Перечень информации, включаемой в</w:t>
      </w:r>
      <w:r w:rsidR="00D0422D" w:rsidRPr="00FB4E3F">
        <w:rPr>
          <w:rFonts w:ascii="Times New Roman" w:hAnsi="Times New Roman" w:cs="Times New Roman"/>
          <w:color w:val="auto"/>
        </w:rPr>
        <w:t xml:space="preserve"> перечень</w:t>
      </w:r>
      <w:r w:rsidRPr="00FB4E3F">
        <w:rPr>
          <w:rFonts w:ascii="Times New Roman" w:hAnsi="Times New Roman" w:cs="Times New Roman"/>
          <w:color w:val="auto"/>
        </w:rPr>
        <w:t xml:space="preserve"> налогового расхода</w:t>
      </w:r>
      <w:r w:rsidRPr="00FB4E3F">
        <w:rPr>
          <w:rFonts w:ascii="Times New Roman" w:hAnsi="Times New Roman" w:cs="Times New Roman"/>
          <w:color w:val="auto"/>
        </w:rPr>
        <w:br/>
      </w:r>
      <w:r w:rsidR="00A776F7" w:rsidRPr="00FB4E3F">
        <w:rPr>
          <w:rFonts w:ascii="Times New Roman" w:hAnsi="Times New Roman" w:cs="Times New Roman"/>
          <w:color w:val="auto"/>
        </w:rPr>
        <w:t>Сибиряк</w:t>
      </w:r>
      <w:r w:rsidR="0084399F" w:rsidRPr="00FB4E3F">
        <w:rPr>
          <w:rFonts w:ascii="Times New Roman" w:hAnsi="Times New Roman" w:cs="Times New Roman"/>
          <w:color w:val="auto"/>
        </w:rPr>
        <w:t>ского сельского поселения</w:t>
      </w:r>
    </w:p>
    <w:p w:rsidR="00E239FC" w:rsidRPr="001676B4" w:rsidRDefault="00E239FC" w:rsidP="003B020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268"/>
      </w:tblGrid>
      <w:tr w:rsidR="007601AA" w:rsidRPr="001676B4" w:rsidTr="00FB4E3F"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FB4E3F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и ее структурных </w:t>
            </w:r>
            <w:r w:rsidRPr="001676B4">
              <w:rPr>
                <w:rFonts w:ascii="Times New Roman" w:hAnsi="Times New Roman" w:cs="Times New Roman"/>
              </w:rPr>
              <w:lastRenderedPageBreak/>
              <w:t>элементов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lastRenderedPageBreak/>
              <w:t>данные куратора</w:t>
            </w:r>
          </w:p>
        </w:tc>
      </w:tr>
      <w:tr w:rsidR="0084399F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FB4E3F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5F4B12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</w:t>
      </w:r>
      <w:bookmarkStart w:id="1" w:name="_GoBack"/>
      <w:bookmarkEnd w:id="1"/>
      <w:r w:rsidRPr="001676B4">
        <w:rPr>
          <w:rFonts w:ascii="Times New Roman" w:hAnsi="Times New Roman" w:cs="Times New Roman"/>
        </w:rPr>
        <w:t>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A776F7">
        <w:rPr>
          <w:rFonts w:ascii="Times New Roman" w:hAnsi="Times New Roman" w:cs="Times New Roman"/>
        </w:rPr>
        <w:t>Сибиряк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r w:rsidR="00A776F7">
        <w:rPr>
          <w:rFonts w:ascii="Times New Roman" w:hAnsi="Times New Roman" w:cs="Times New Roman"/>
        </w:rPr>
        <w:t>Сибиряк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FB4E3F">
      <w:footerReference w:type="default" r:id="rId10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79" w:rsidRDefault="00957379" w:rsidP="007601AA">
      <w:r>
        <w:separator/>
      </w:r>
    </w:p>
  </w:endnote>
  <w:endnote w:type="continuationSeparator" w:id="0">
    <w:p w:rsidR="00957379" w:rsidRDefault="00957379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79" w:rsidRDefault="00957379" w:rsidP="007601AA">
      <w:r>
        <w:separator/>
      </w:r>
    </w:p>
  </w:footnote>
  <w:footnote w:type="continuationSeparator" w:id="0">
    <w:p w:rsidR="00957379" w:rsidRDefault="00957379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654C"/>
    <w:rsid w:val="00045DBD"/>
    <w:rsid w:val="00053D47"/>
    <w:rsid w:val="000C7A68"/>
    <w:rsid w:val="000F28CA"/>
    <w:rsid w:val="001003B8"/>
    <w:rsid w:val="00162953"/>
    <w:rsid w:val="001676B4"/>
    <w:rsid w:val="00195FBE"/>
    <w:rsid w:val="001F45BD"/>
    <w:rsid w:val="002721AC"/>
    <w:rsid w:val="002B41C1"/>
    <w:rsid w:val="00340001"/>
    <w:rsid w:val="00342F74"/>
    <w:rsid w:val="00382344"/>
    <w:rsid w:val="00383444"/>
    <w:rsid w:val="00385484"/>
    <w:rsid w:val="0039712A"/>
    <w:rsid w:val="003B0205"/>
    <w:rsid w:val="003C65C0"/>
    <w:rsid w:val="003C7C67"/>
    <w:rsid w:val="00415AE4"/>
    <w:rsid w:val="004221D0"/>
    <w:rsid w:val="00423869"/>
    <w:rsid w:val="00440A50"/>
    <w:rsid w:val="004440A6"/>
    <w:rsid w:val="00463408"/>
    <w:rsid w:val="00491ABC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4E2C"/>
    <w:rsid w:val="00666987"/>
    <w:rsid w:val="00681AB9"/>
    <w:rsid w:val="006B6F02"/>
    <w:rsid w:val="006F3A80"/>
    <w:rsid w:val="007230B0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57379"/>
    <w:rsid w:val="00961177"/>
    <w:rsid w:val="00971433"/>
    <w:rsid w:val="00990EC7"/>
    <w:rsid w:val="009C09F2"/>
    <w:rsid w:val="009C4A8C"/>
    <w:rsid w:val="009D35EF"/>
    <w:rsid w:val="009E2FF0"/>
    <w:rsid w:val="009E5E3F"/>
    <w:rsid w:val="00A034BE"/>
    <w:rsid w:val="00A22E40"/>
    <w:rsid w:val="00A31F2C"/>
    <w:rsid w:val="00A53F2E"/>
    <w:rsid w:val="00A53FAD"/>
    <w:rsid w:val="00A5407C"/>
    <w:rsid w:val="00A776F7"/>
    <w:rsid w:val="00A82592"/>
    <w:rsid w:val="00A8721E"/>
    <w:rsid w:val="00AC5201"/>
    <w:rsid w:val="00AF3A70"/>
    <w:rsid w:val="00B12757"/>
    <w:rsid w:val="00B37EBA"/>
    <w:rsid w:val="00B60F00"/>
    <w:rsid w:val="00BB4715"/>
    <w:rsid w:val="00BC79D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63D82"/>
    <w:rsid w:val="00F90727"/>
    <w:rsid w:val="00FB4E3F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4ABF7"/>
  <w14:defaultImageDpi w14:val="0"/>
  <w15:docId w15:val="{00248CB7-1A0A-48F2-91C0-D2F9BFA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063B-EB0A-4481-975F-53CB2F73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31</cp:revision>
  <cp:lastPrinted>2019-10-01T17:51:00Z</cp:lastPrinted>
  <dcterms:created xsi:type="dcterms:W3CDTF">2019-10-01T17:52:00Z</dcterms:created>
  <dcterms:modified xsi:type="dcterms:W3CDTF">2020-04-20T04:58:00Z</dcterms:modified>
</cp:coreProperties>
</file>